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D9D77" w14:textId="2CBB6A7B" w:rsidR="006D1C6E" w:rsidRPr="006D1C6E" w:rsidRDefault="006D1C6E" w:rsidP="006D1C6E">
      <w:pPr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36"/>
          <w:lang w:eastAsia="pl-PL"/>
          <w14:ligatures w14:val="none"/>
        </w:rPr>
        <w:t>Załącznik nr 2 do OPZ</w:t>
      </w:r>
    </w:p>
    <w:p w14:paraId="544CB886" w14:textId="61FBEF1B" w:rsidR="006D1C6E" w:rsidRDefault="006D1C6E" w:rsidP="003421A1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36"/>
          <w:lang w:eastAsia="pl-PL"/>
          <w14:ligatures w14:val="none"/>
        </w:rPr>
        <w:t>OPIS PRZEDMIOTU ZAMOWIENIA</w:t>
      </w:r>
    </w:p>
    <w:p w14:paraId="5E26E062" w14:textId="2159F6F1" w:rsidR="00AC7D6E" w:rsidRDefault="00AC7D6E" w:rsidP="003421A1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36"/>
          <w:lang w:eastAsia="pl-PL"/>
          <w14:ligatures w14:val="none"/>
        </w:rPr>
        <w:t>- wymagania ogólne.</w:t>
      </w:r>
    </w:p>
    <w:p w14:paraId="0C34B7D2" w14:textId="77777777" w:rsidR="003421A1" w:rsidRPr="006D1C6E" w:rsidRDefault="003421A1" w:rsidP="006D1C6E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  <w14:ligatures w14:val="none"/>
        </w:rPr>
      </w:pPr>
    </w:p>
    <w:p w14:paraId="15CD3A87" w14:textId="77777777" w:rsidR="006D1C6E" w:rsidRDefault="006D1C6E" w:rsidP="006D1C6E">
      <w:pPr>
        <w:pStyle w:val="Akapitzlist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 zamówienia obejmuje dostawę materiałów dydaktycznych, terapeutycznych, pomocy edukacyjnych, sprzętu komputerowego, multimedialnego oraz wyposażenia specjalistycznego zgodnie z zakresem asortymentowym wskazanym w poszczególnych częściach OPZ.</w:t>
      </w:r>
    </w:p>
    <w:p w14:paraId="08189517" w14:textId="319BC21F" w:rsidR="00AC7D6E" w:rsidRDefault="00AC7D6E" w:rsidP="00AC7D6E">
      <w:pPr>
        <w:pStyle w:val="Akapitzlist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Przedmiot zamówienia został podzielony na 8 części: </w:t>
      </w:r>
    </w:p>
    <w:p w14:paraId="398323D7" w14:textId="23BD5C82" w:rsidR="00AC7D6E" w:rsidRDefault="00AC7D6E" w:rsidP="00AC7D6E">
      <w:pPr>
        <w:pStyle w:val="Akapitzlist"/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10F3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Część nr 1: </w:t>
      </w:r>
    </w:p>
    <w:p w14:paraId="32B4FD3E" w14:textId="77777777" w:rsidR="009455C6" w:rsidRDefault="009455C6" w:rsidP="009455C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B49B1F6" w14:textId="77777777" w:rsidR="009455C6" w:rsidRDefault="009455C6" w:rsidP="009455C6">
      <w:pPr>
        <w:pStyle w:val="NormalnyWeb"/>
      </w:pPr>
      <w:r>
        <w:t xml:space="preserve">Przedmiotem zamówienia jest </w:t>
      </w:r>
      <w:r>
        <w:rPr>
          <w:rStyle w:val="Pogrubienie"/>
          <w:rFonts w:eastAsiaTheme="majorEastAsia"/>
        </w:rPr>
        <w:t>dostawa fabrycznie nowych urządzeń multimedialnych, komputerów przenośnych, urządzeń do rozszerzonej rzeczywistości oraz akcesoriów komputerowych</w:t>
      </w:r>
      <w:r>
        <w:t>, przeznaczonych do prowadzenia zajęć edukacyjnych z wykorzystaniem technologii interaktywnych, w tym w pracowniach szkolnych i salach dydaktycznych.</w:t>
      </w:r>
    </w:p>
    <w:p w14:paraId="453CF359" w14:textId="77777777" w:rsidR="009455C6" w:rsidRDefault="009455C6" w:rsidP="009455C6">
      <w:pPr>
        <w:pStyle w:val="NormalnyWeb"/>
      </w:pPr>
      <w:r>
        <w:t>Zakres zamówienia obejmuje w szczególności:</w:t>
      </w:r>
    </w:p>
    <w:p w14:paraId="4E507406" w14:textId="77777777" w:rsidR="009455C6" w:rsidRDefault="009455C6" w:rsidP="009455C6">
      <w:pPr>
        <w:pStyle w:val="NormalnyWeb"/>
        <w:numPr>
          <w:ilvl w:val="0"/>
          <w:numId w:val="9"/>
        </w:numPr>
      </w:pPr>
      <w:r>
        <w:rPr>
          <w:rStyle w:val="Pogrubienie"/>
          <w:rFonts w:eastAsiaTheme="majorEastAsia"/>
        </w:rPr>
        <w:t>Interaktywne monitory dotykowe</w:t>
      </w:r>
      <w:r>
        <w:t xml:space="preserve"> (dwa rodzaje, o przekątnej 75” oraz 86”) – z funkcją pracy dotykowej, wysoką rozdzielczością 4K, łącznością przewodową i bezprzewodową, wbudowanymi głośnikami oraz kompletem akcesoriów i uchwytów montażowych, zgodnie z wymaganiami technicznymi określonymi w Formularzu wyceny.</w:t>
      </w:r>
    </w:p>
    <w:p w14:paraId="7F7FEA16" w14:textId="77777777" w:rsidR="009455C6" w:rsidRDefault="009455C6" w:rsidP="009455C6">
      <w:pPr>
        <w:pStyle w:val="NormalnyWeb"/>
        <w:numPr>
          <w:ilvl w:val="0"/>
          <w:numId w:val="9"/>
        </w:numPr>
      </w:pPr>
      <w:r>
        <w:rPr>
          <w:rStyle w:val="Pogrubienie"/>
          <w:rFonts w:eastAsiaTheme="majorEastAsia"/>
        </w:rPr>
        <w:t>Urządzenie VR (gogle)</w:t>
      </w:r>
      <w:r>
        <w:t xml:space="preserve"> – zestaw do pracy z komputerem, wyposażony w kontrolery, z ekranem wysokiej rozdzielczości i zestawem czujników śledzenia ruchu, zgodnie z wymaganiami określonymi w Formularzu wyceny.</w:t>
      </w:r>
    </w:p>
    <w:p w14:paraId="69443B03" w14:textId="77777777" w:rsidR="009455C6" w:rsidRDefault="009455C6" w:rsidP="009455C6">
      <w:pPr>
        <w:pStyle w:val="NormalnyWeb"/>
        <w:numPr>
          <w:ilvl w:val="0"/>
          <w:numId w:val="9"/>
        </w:numPr>
      </w:pPr>
      <w:r>
        <w:rPr>
          <w:rStyle w:val="Pogrubienie"/>
          <w:rFonts w:eastAsiaTheme="majorEastAsia"/>
        </w:rPr>
        <w:t>Komputer przenośny typu laptop – do obsługi VR</w:t>
      </w:r>
      <w:r>
        <w:t xml:space="preserve"> – o wysokiej wydajności graficznej i obliczeniowej, zgodnie z wymaganiami minimalnymi w zakresie wyników benchmarków, łączności, dysku, pamięci RAM oraz ekranu – określonymi w Formularzu wyceny.</w:t>
      </w:r>
    </w:p>
    <w:p w14:paraId="7998C704" w14:textId="77777777" w:rsidR="009455C6" w:rsidRDefault="009455C6" w:rsidP="009455C6">
      <w:pPr>
        <w:pStyle w:val="NormalnyWeb"/>
        <w:numPr>
          <w:ilvl w:val="0"/>
          <w:numId w:val="9"/>
        </w:numPr>
      </w:pPr>
      <w:r>
        <w:rPr>
          <w:rStyle w:val="Pogrubienie"/>
          <w:rFonts w:eastAsiaTheme="majorEastAsia"/>
        </w:rPr>
        <w:t>Kolumny głośnikowe z systemem DSP</w:t>
      </w:r>
      <w:r>
        <w:t xml:space="preserve"> – do zastosowań edukacyjno-akustycznych, wraz z mikrofonem pomiarowym i uchwytami montażowymi, zgodnie z wymaganiami określonymi w Formularzu wyceny.</w:t>
      </w:r>
    </w:p>
    <w:p w14:paraId="7517D7FD" w14:textId="77777777" w:rsidR="009455C6" w:rsidRDefault="009455C6" w:rsidP="009455C6">
      <w:pPr>
        <w:pStyle w:val="NormalnyWeb"/>
        <w:numPr>
          <w:ilvl w:val="0"/>
          <w:numId w:val="9"/>
        </w:numPr>
      </w:pPr>
      <w:r>
        <w:rPr>
          <w:rStyle w:val="Pogrubienie"/>
          <w:rFonts w:eastAsiaTheme="majorEastAsia"/>
        </w:rPr>
        <w:t>Komputery przenośne (laptopy)</w:t>
      </w:r>
      <w:r>
        <w:t xml:space="preserve"> – do pracy biurowej i dydaktycznej, z systemem operacyjnym Windows 11 Pro lub równoważnym, zgodnie z wymaganiami określonymi w Formularzu wyceny.</w:t>
      </w:r>
    </w:p>
    <w:p w14:paraId="2EC608B6" w14:textId="77777777" w:rsidR="009455C6" w:rsidRDefault="009455C6" w:rsidP="009455C6">
      <w:pPr>
        <w:pStyle w:val="NormalnyWeb"/>
        <w:numPr>
          <w:ilvl w:val="0"/>
          <w:numId w:val="9"/>
        </w:numPr>
      </w:pPr>
      <w:r>
        <w:rPr>
          <w:rStyle w:val="Pogrubienie"/>
          <w:rFonts w:eastAsiaTheme="majorEastAsia"/>
        </w:rPr>
        <w:t>Myszy komputerowe przewodowe</w:t>
      </w:r>
      <w:r>
        <w:t xml:space="preserve"> – przeznaczone do szkolnych pracowni komputerowych, odporne na intensywne użytkowanie, z gwarancją co najmniej 24 miesiące</w:t>
      </w:r>
    </w:p>
    <w:p w14:paraId="3BB7C5BD" w14:textId="1CBD7809" w:rsidR="009455C6" w:rsidRDefault="009455C6" w:rsidP="009455C6">
      <w:pPr>
        <w:pStyle w:val="NormalnyWeb"/>
        <w:ind w:left="360"/>
      </w:pPr>
      <w:r>
        <w:rPr>
          <w:rStyle w:val="Pogrubienie"/>
          <w:rFonts w:eastAsiaTheme="majorEastAsia"/>
        </w:rPr>
        <w:t>Szczegółowe wymagania minimalne dla każdej pozycji określa kolumna „Wymagania minimalne” Formularza wyceny – Załącznik nr 3.</w:t>
      </w:r>
      <w:r>
        <w:rPr>
          <w:rStyle w:val="Pogrubienie"/>
          <w:rFonts w:eastAsiaTheme="majorEastAsia"/>
        </w:rPr>
        <w:t>1</w:t>
      </w:r>
      <w:r>
        <w:rPr>
          <w:rStyle w:val="Pogrubienie"/>
          <w:rFonts w:eastAsiaTheme="majorEastAsia"/>
        </w:rPr>
        <w:t xml:space="preserve"> do SWZ.</w:t>
      </w:r>
    </w:p>
    <w:p w14:paraId="3ED2DDA8" w14:textId="77777777" w:rsidR="009455C6" w:rsidRDefault="009455C6" w:rsidP="009455C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E1CCC64" w14:textId="77777777" w:rsidR="009455C6" w:rsidRPr="009455C6" w:rsidRDefault="009455C6" w:rsidP="009455C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5566A976" w14:textId="629C6F51" w:rsidR="00AC7D6E" w:rsidRDefault="00AC7D6E" w:rsidP="00AC7D6E">
      <w:pPr>
        <w:pStyle w:val="Akapitzlist"/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10F3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Część nr 2:</w:t>
      </w:r>
      <w:r w:rsidR="00EE1DE9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="00EE1DE9" w:rsidRPr="00EE1DE9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Dostawa materiałów biurowych oraz pomocy dydaktycznych na potrzeby realizacji projektu</w:t>
      </w:r>
    </w:p>
    <w:p w14:paraId="3E267E67" w14:textId="77777777" w:rsidR="00EE1DE9" w:rsidRDefault="00EE1DE9" w:rsidP="00EE1DE9">
      <w:pPr>
        <w:pStyle w:val="NormalnyWeb"/>
      </w:pPr>
      <w:r>
        <w:lastRenderedPageBreak/>
        <w:t xml:space="preserve">Przedmiotem zamówienia jest </w:t>
      </w:r>
      <w:r>
        <w:rPr>
          <w:rStyle w:val="Pogrubienie"/>
          <w:rFonts w:eastAsiaTheme="majorEastAsia"/>
        </w:rPr>
        <w:t>dostawa fabrycznie nowych artykułów biurowych, papierniczych oraz materiałów plastycznych</w:t>
      </w:r>
      <w:r>
        <w:t xml:space="preserve"> przeznaczonych do wykorzystania w pracy dydaktycznej, wychowawczej i terapeutycznej w placówce oświatowej.</w:t>
      </w:r>
    </w:p>
    <w:p w14:paraId="65CC0B35" w14:textId="77777777" w:rsidR="00EE1DE9" w:rsidRDefault="00EE1DE9" w:rsidP="00EE1DE9">
      <w:pPr>
        <w:pStyle w:val="NormalnyWeb"/>
      </w:pPr>
      <w:r>
        <w:t>Zakres zamówienia obejmuje w szczególności:</w:t>
      </w:r>
    </w:p>
    <w:p w14:paraId="5FD6EFA1" w14:textId="77777777" w:rsidR="00EE1DE9" w:rsidRDefault="00EE1DE9" w:rsidP="00EE1DE9">
      <w:pPr>
        <w:pStyle w:val="NormalnyWeb"/>
        <w:numPr>
          <w:ilvl w:val="0"/>
          <w:numId w:val="10"/>
        </w:numPr>
      </w:pPr>
      <w:r>
        <w:rPr>
          <w:rStyle w:val="Pogrubienie"/>
          <w:rFonts w:eastAsiaTheme="majorEastAsia"/>
        </w:rPr>
        <w:t>Przybory do pisania i oznaczania</w:t>
      </w:r>
      <w:r>
        <w:t xml:space="preserve"> – długopisy, ołówki, markery do tablic </w:t>
      </w:r>
      <w:proofErr w:type="spellStart"/>
      <w:r>
        <w:t>suchościeralnych</w:t>
      </w:r>
      <w:proofErr w:type="spellEnd"/>
      <w:r>
        <w:t xml:space="preserve"> (w zestawach z gąbkami magnetycznymi), kolorowe markery do papieru, markery dwustronne (zestaw min. 60 kolorów) oraz flamastry.</w:t>
      </w:r>
    </w:p>
    <w:p w14:paraId="53B3EB99" w14:textId="77777777" w:rsidR="00EE1DE9" w:rsidRDefault="00EE1DE9" w:rsidP="00EE1DE9">
      <w:pPr>
        <w:pStyle w:val="NormalnyWeb"/>
        <w:numPr>
          <w:ilvl w:val="0"/>
          <w:numId w:val="10"/>
        </w:numPr>
      </w:pPr>
      <w:r>
        <w:rPr>
          <w:rStyle w:val="Pogrubienie"/>
          <w:rFonts w:eastAsiaTheme="majorEastAsia"/>
        </w:rPr>
        <w:t>Wyposażenie tablic</w:t>
      </w:r>
      <w:r>
        <w:t xml:space="preserve"> – </w:t>
      </w:r>
      <w:proofErr w:type="spellStart"/>
      <w:r>
        <w:t>czyściki</w:t>
      </w:r>
      <w:proofErr w:type="spellEnd"/>
      <w:r>
        <w:t xml:space="preserve">/gąbki magnetyczne do tablic </w:t>
      </w:r>
      <w:proofErr w:type="spellStart"/>
      <w:r>
        <w:t>suchościeralnych</w:t>
      </w:r>
      <w:proofErr w:type="spellEnd"/>
      <w:r>
        <w:t>.</w:t>
      </w:r>
    </w:p>
    <w:p w14:paraId="38622CF1" w14:textId="77777777" w:rsidR="00EE1DE9" w:rsidRDefault="00EE1DE9" w:rsidP="00EE1DE9">
      <w:pPr>
        <w:pStyle w:val="NormalnyWeb"/>
        <w:numPr>
          <w:ilvl w:val="0"/>
          <w:numId w:val="10"/>
        </w:numPr>
      </w:pPr>
      <w:r>
        <w:rPr>
          <w:rStyle w:val="Pogrubienie"/>
          <w:rFonts w:eastAsiaTheme="majorEastAsia"/>
        </w:rPr>
        <w:t>Materiały papiernicze</w:t>
      </w:r>
      <w:r>
        <w:t xml:space="preserve"> – papiery ksero (białe i kolorowe), koszulki foliowe, brystol biały i kolorowy, papier z motywami dla dzieci oraz różnego rodzaju papiery i kwadraty do origami (w tym z wzorami).</w:t>
      </w:r>
    </w:p>
    <w:p w14:paraId="2962E3A8" w14:textId="77777777" w:rsidR="00EE1DE9" w:rsidRDefault="00EE1DE9" w:rsidP="00EE1DE9">
      <w:pPr>
        <w:pStyle w:val="NormalnyWeb"/>
        <w:numPr>
          <w:ilvl w:val="0"/>
          <w:numId w:val="10"/>
        </w:numPr>
      </w:pPr>
      <w:r>
        <w:rPr>
          <w:rStyle w:val="Pogrubienie"/>
          <w:rFonts w:eastAsiaTheme="majorEastAsia"/>
        </w:rPr>
        <w:t>Materiały plastyczne</w:t>
      </w:r>
      <w:r>
        <w:t xml:space="preserve"> – kredki ołówkowe, farby plakatowe, plastelina, brokat sypki, kule styropianowe, słomki, kubki i talerze jednorazowe wykorzystywane przy pracach plastycznych.</w:t>
      </w:r>
    </w:p>
    <w:p w14:paraId="51C47028" w14:textId="77777777" w:rsidR="00EE1DE9" w:rsidRDefault="00EE1DE9" w:rsidP="00EE1DE9">
      <w:pPr>
        <w:pStyle w:val="NormalnyWeb"/>
        <w:numPr>
          <w:ilvl w:val="0"/>
          <w:numId w:val="10"/>
        </w:numPr>
      </w:pPr>
      <w:r>
        <w:rPr>
          <w:rStyle w:val="Pogrubienie"/>
          <w:rFonts w:eastAsiaTheme="majorEastAsia"/>
        </w:rPr>
        <w:t>Materiały klejące i montażowe</w:t>
      </w:r>
      <w:r>
        <w:t xml:space="preserve"> – kleje w sztyfcie, kleje typu „Magik” (tuba i sztyft), klej introligatorski, klej na gorąco (patyczki do pistoletu), taśmy klejące jednostronne oraz taśmy dwustronne.</w:t>
      </w:r>
    </w:p>
    <w:p w14:paraId="780F9D59" w14:textId="77777777" w:rsidR="00EE1DE9" w:rsidRDefault="00EE1DE9" w:rsidP="00EE1DE9">
      <w:pPr>
        <w:pStyle w:val="NormalnyWeb"/>
        <w:numPr>
          <w:ilvl w:val="0"/>
          <w:numId w:val="10"/>
        </w:numPr>
      </w:pPr>
      <w:r>
        <w:rPr>
          <w:rStyle w:val="Pogrubienie"/>
          <w:rFonts w:eastAsiaTheme="majorEastAsia"/>
        </w:rPr>
        <w:t>Drobne wyposażenie pomocnicze</w:t>
      </w:r>
      <w:r>
        <w:t xml:space="preserve"> – nożyczki szkolne, podstawowe akcesoria opakowaniowe i techniczne, zgodnie z Formularzem wyceny.</w:t>
      </w:r>
    </w:p>
    <w:p w14:paraId="5F6330B3" w14:textId="6C4DC9C7" w:rsidR="00EE1DE9" w:rsidRPr="00EE1DE9" w:rsidRDefault="00EE1DE9" w:rsidP="00EE1DE9">
      <w:pPr>
        <w:pStyle w:val="NormalnyWeb"/>
      </w:pPr>
      <w:r>
        <w:rPr>
          <w:rStyle w:val="Pogrubienie"/>
          <w:rFonts w:eastAsiaTheme="majorEastAsia"/>
        </w:rPr>
        <w:t>Szczegółowe wymagania Zamawiającego / minimalne wymagania jakościowe</w:t>
      </w:r>
      <w:r>
        <w:t xml:space="preserve">, w tym formaty, gramatury, liczby sztuk w opakowaniach, rodzaje końcówek, długości taśm, kolory, parametry bezpieczeństwa oraz przeznaczenie poszczególnych materiałów, określa </w:t>
      </w:r>
      <w:r>
        <w:rPr>
          <w:rStyle w:val="Pogrubienie"/>
          <w:rFonts w:eastAsiaTheme="majorEastAsia"/>
        </w:rPr>
        <w:t xml:space="preserve">Załącznik nr </w:t>
      </w:r>
      <w:r>
        <w:rPr>
          <w:rStyle w:val="Pogrubienie"/>
          <w:rFonts w:eastAsiaTheme="majorEastAsia"/>
        </w:rPr>
        <w:t>3.2.</w:t>
      </w:r>
      <w:r>
        <w:rPr>
          <w:rStyle w:val="Pogrubienie"/>
          <w:rFonts w:eastAsiaTheme="majorEastAsia"/>
        </w:rPr>
        <w:t xml:space="preserve"> – Formularz wyceny</w:t>
      </w:r>
      <w:r>
        <w:t xml:space="preserve"> w kolumnie „Szczegółowe wymagania Zamawiającego / Minimalne wymagania jakościowe”.</w:t>
      </w:r>
    </w:p>
    <w:p w14:paraId="778BC5AF" w14:textId="77777777" w:rsidR="00EE1DE9" w:rsidRPr="00EE1DE9" w:rsidRDefault="00EE1DE9" w:rsidP="00EE1DE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4791811" w14:textId="43B81F10" w:rsidR="00AC7D6E" w:rsidRDefault="00AC7D6E" w:rsidP="00AC7D6E">
      <w:pPr>
        <w:pStyle w:val="Akapitzlist"/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10F3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Część nr 3:</w:t>
      </w:r>
      <w:r w:rsidR="00EE1DE9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="00EE1DE9" w:rsidRPr="00EE1DE9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Dostawa przyborów geometrycznych i pomocy dydaktycznych na potrzeby zajęć z matematyki</w:t>
      </w:r>
    </w:p>
    <w:p w14:paraId="6E8B71B1" w14:textId="77777777" w:rsidR="00EE1DE9" w:rsidRDefault="00EE1DE9" w:rsidP="00EE1DE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93C1D5F" w14:textId="77777777" w:rsidR="00A326B0" w:rsidRDefault="00A326B0" w:rsidP="00A326B0">
      <w:pPr>
        <w:pStyle w:val="NormalnyWeb"/>
      </w:pPr>
      <w:r>
        <w:t xml:space="preserve">Przedmiotem zamówienia jest </w:t>
      </w:r>
      <w:r>
        <w:rPr>
          <w:rStyle w:val="Pogrubienie"/>
          <w:rFonts w:eastAsiaTheme="majorEastAsia"/>
        </w:rPr>
        <w:t>dostawa fabrycznie nowych pomocy dydaktycznych</w:t>
      </w:r>
      <w:r>
        <w:t xml:space="preserve"> przeznaczonych do nauczania matematyki w szkole podstawowej, służących do prowadzenia zajęć z geometrii, arytmetyki, ułamków, wartości dziesiętnych oraz rozwiązywania zadań praktycznych, zarówno przy tablicy, jak i w formie pracy zespołowej i indywidualnej.</w:t>
      </w:r>
    </w:p>
    <w:p w14:paraId="423FAC9D" w14:textId="77777777" w:rsidR="00A326B0" w:rsidRDefault="00A326B0" w:rsidP="00A326B0">
      <w:pPr>
        <w:pStyle w:val="NormalnyWeb"/>
      </w:pPr>
      <w:r>
        <w:t>Zakres zamówienia obejmuje w szczególności:</w:t>
      </w:r>
    </w:p>
    <w:p w14:paraId="1FCDDA7B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Zestaw tablicowy geometryczny</w:t>
      </w:r>
      <w:r>
        <w:t xml:space="preserve"> – przybory geometryczne dużego formatu z tablicą ścienną, przeznaczone do demonstracji na lekcji matematyki.</w:t>
      </w:r>
    </w:p>
    <w:p w14:paraId="37435330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Magnetyczne osie liczbowe</w:t>
      </w:r>
      <w:r>
        <w:t xml:space="preserve"> – zestaw umożliwiający naukę liczb ujemnych i działań arytmetycznych na osi liczbowej, z możliwością pracy w układzie pionowym i poziomym.</w:t>
      </w:r>
    </w:p>
    <w:p w14:paraId="2CDB1C40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Oś liczbowa z rozwinięciami dziesiętnymi</w:t>
      </w:r>
      <w:r>
        <w:t xml:space="preserve"> – pomoc pozwalająca demonstrować liczby dziesiętne, setne i tysięczne oraz zasady ich zapisu i porównywania.</w:t>
      </w:r>
    </w:p>
    <w:p w14:paraId="6CD7857C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lastRenderedPageBreak/>
        <w:t>Magnetyczne ułamki kołowe</w:t>
      </w:r>
      <w:r>
        <w:t xml:space="preserve"> – zestaw manipulatorów do pracy nad ułamkami, umożliwiający ich wizualizację i obliczenia wykonywane na tablicy.</w:t>
      </w:r>
    </w:p>
    <w:p w14:paraId="2328D5C4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Zestaw tangramów</w:t>
      </w:r>
      <w:r>
        <w:t xml:space="preserve"> – pomoc do rozwiązywania łamigłówek geometrycznych i ćwiczeń przestrzennych, w wersji magnetycznej oraz z kartami zadaniowymi.</w:t>
      </w:r>
    </w:p>
    <w:p w14:paraId="709D9372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Magnetyczne siatki brył</w:t>
      </w:r>
      <w:r>
        <w:t xml:space="preserve"> – zestaw figur do demonstracji budowy siatek i brył przestrzennych (graniastosłupy i ostrosłupy), kompatybilny z tablicami magnetycznymi.</w:t>
      </w:r>
    </w:p>
    <w:p w14:paraId="682E750C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 xml:space="preserve">Oprogramowanie edukacyjne </w:t>
      </w:r>
      <w:proofErr w:type="spellStart"/>
      <w:r>
        <w:rPr>
          <w:rStyle w:val="Pogrubienie"/>
          <w:rFonts w:eastAsiaTheme="majorEastAsia"/>
        </w:rPr>
        <w:t>PowtórkoMat</w:t>
      </w:r>
      <w:proofErr w:type="spellEnd"/>
      <w:r>
        <w:rPr>
          <w:rStyle w:val="Pogrubienie"/>
          <w:rFonts w:eastAsiaTheme="majorEastAsia"/>
        </w:rPr>
        <w:t xml:space="preserve"> (klasa 6 i 8)</w:t>
      </w:r>
      <w:r>
        <w:t xml:space="preserve"> – aplikacje wspierające powtarzanie i diagnozę umiejętności z matematyki na poziomie szkoły podstawowej.</w:t>
      </w:r>
    </w:p>
    <w:p w14:paraId="594D3848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Kalkulator szkolny</w:t>
      </w:r>
      <w:r>
        <w:t xml:space="preserve"> – urządzenie do podstawowych działań arytmetycznych, z funkcjami pamięci oraz obliczania pierwiastków i procentów.</w:t>
      </w:r>
    </w:p>
    <w:p w14:paraId="027503B8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Zestawy brył geometrycznych</w:t>
      </w:r>
      <w:r>
        <w:t xml:space="preserve"> –</w:t>
      </w:r>
      <w:r>
        <w:br/>
        <w:t>– modele ostrosłupów i graniastosłupów,</w:t>
      </w:r>
      <w:r>
        <w:br/>
        <w:t>– bryły z zaznaczeniem przekątnych/wysokości/wpisanymi bryłami,</w:t>
      </w:r>
      <w:r>
        <w:br/>
        <w:t>– zestaw modeli walca, stożka, prostopadłościanu i brył foremnych,</w:t>
      </w:r>
      <w:r>
        <w:br/>
        <w:t>przeznaczone do nauczania geometrii przestrzennej w szkole podstawowej.</w:t>
      </w:r>
    </w:p>
    <w:p w14:paraId="5E1C49FD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Zestawy kreślarskie dla uczniów</w:t>
      </w:r>
      <w:r>
        <w:t xml:space="preserve"> – linijki, kątomierze i ekierki do pracy na zajęciach matematyki.</w:t>
      </w:r>
    </w:p>
    <w:p w14:paraId="7E4F45D3" w14:textId="77777777" w:rsidR="00A326B0" w:rsidRDefault="00A326B0" w:rsidP="00A326B0">
      <w:pPr>
        <w:pStyle w:val="NormalnyWeb"/>
        <w:numPr>
          <w:ilvl w:val="0"/>
          <w:numId w:val="11"/>
        </w:numPr>
      </w:pPr>
      <w:r>
        <w:rPr>
          <w:rStyle w:val="Pogrubienie"/>
          <w:rFonts w:eastAsiaTheme="majorEastAsia"/>
        </w:rPr>
        <w:t>Cyrkle szkolne</w:t>
      </w:r>
      <w:r>
        <w:t xml:space="preserve"> – metalowe cyrkle z zapasowym grafitem, w etui.</w:t>
      </w:r>
    </w:p>
    <w:p w14:paraId="4236BB78" w14:textId="0CA7C6DC" w:rsidR="00A326B0" w:rsidRDefault="00A326B0" w:rsidP="00A326B0">
      <w:pPr>
        <w:pStyle w:val="NormalnyWeb"/>
      </w:pPr>
      <w:r>
        <w:rPr>
          <w:rStyle w:val="Pogrubienie"/>
          <w:rFonts w:eastAsiaTheme="majorEastAsia"/>
        </w:rPr>
        <w:t>Szczegółowe wymagania Zamawiającego / minimalne wymagania jakościowe</w:t>
      </w:r>
      <w:r>
        <w:t xml:space="preserve"> dla wszystkich wskazanych materiałów określa </w:t>
      </w:r>
      <w:r>
        <w:rPr>
          <w:rStyle w:val="Pogrubienie"/>
          <w:rFonts w:eastAsiaTheme="majorEastAsia"/>
        </w:rPr>
        <w:t xml:space="preserve">Załącznik nr </w:t>
      </w:r>
      <w:r>
        <w:rPr>
          <w:rStyle w:val="Pogrubienie"/>
          <w:rFonts w:eastAsiaTheme="majorEastAsia"/>
        </w:rPr>
        <w:t>3.3.</w:t>
      </w:r>
      <w:r>
        <w:rPr>
          <w:rStyle w:val="Pogrubienie"/>
          <w:rFonts w:eastAsiaTheme="majorEastAsia"/>
        </w:rPr>
        <w:t xml:space="preserve"> – Formularz wyceny</w:t>
      </w:r>
      <w:r>
        <w:t xml:space="preserve"> (kolumna „Szczegółowe wymagania Zamawiającego / Minimalne wymagania jakościowe”).</w:t>
      </w:r>
    </w:p>
    <w:p w14:paraId="69E3BD1A" w14:textId="77777777" w:rsidR="00A326B0" w:rsidRDefault="00A326B0" w:rsidP="00EE1DE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7581940" w14:textId="77777777" w:rsidR="00A326B0" w:rsidRPr="00EE1DE9" w:rsidRDefault="00A326B0" w:rsidP="00EE1DE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0F05D28" w14:textId="22763195" w:rsidR="00AC7D6E" w:rsidRPr="00D10F3D" w:rsidRDefault="00AC7D6E" w:rsidP="00AC7D6E">
      <w:pPr>
        <w:pStyle w:val="Akapitzlist"/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10F3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Część nr 4:</w:t>
      </w:r>
      <w:r w:rsidR="00A326B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="00A326B0" w:rsidRPr="00A326B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Dostawa pakietów edukacyjnych, pomocy terapeutycznych oraz sprzętu na potrzeby zajęć specjalistycznych</w:t>
      </w:r>
    </w:p>
    <w:p w14:paraId="5D4EBD31" w14:textId="77777777" w:rsid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70DCE82" w14:textId="77777777" w:rsidR="005F3F04" w:rsidRDefault="005F3F04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DFE812C" w14:textId="77777777" w:rsidR="005F3F04" w:rsidRDefault="005F3F04" w:rsidP="005F3F04">
      <w:pPr>
        <w:pStyle w:val="NormalnyWeb"/>
      </w:pPr>
      <w:r>
        <w:t xml:space="preserve">Przedmiotem zamówienia jest </w:t>
      </w:r>
      <w:r>
        <w:rPr>
          <w:rStyle w:val="Pogrubienie"/>
          <w:rFonts w:eastAsiaTheme="majorEastAsia"/>
        </w:rPr>
        <w:t xml:space="preserve">dostawa fabrycznie nowych narzędzi terapeutycznych, pomocy multimedialnych, materiałów do terapii </w:t>
      </w:r>
      <w:proofErr w:type="spellStart"/>
      <w:r>
        <w:rPr>
          <w:rStyle w:val="Pogrubienie"/>
          <w:rFonts w:eastAsiaTheme="majorEastAsia"/>
        </w:rPr>
        <w:t>Biofeedback</w:t>
      </w:r>
      <w:proofErr w:type="spellEnd"/>
      <w:r>
        <w:rPr>
          <w:rStyle w:val="Pogrubienie"/>
          <w:rFonts w:eastAsiaTheme="majorEastAsia"/>
        </w:rPr>
        <w:t xml:space="preserve"> oraz wyposażenia edukacyjnego</w:t>
      </w:r>
      <w:r>
        <w:t xml:space="preserve"> przeznaczonego do prowadzenia zajęć terapeutycznych, rewalidacyjnych, socjoterapeutycznych i zajęć wspierających rozwój funkcji poznawczych i emocjonalno-społecznych u dzieci i młodzieży.</w:t>
      </w:r>
    </w:p>
    <w:p w14:paraId="07AE50ED" w14:textId="77777777" w:rsidR="005F3F04" w:rsidRDefault="005F3F04" w:rsidP="005F3F04">
      <w:pPr>
        <w:pStyle w:val="NormalnyWeb"/>
      </w:pPr>
      <w:r>
        <w:t>Zakres zamówienia obejmuje w szczególności:</w:t>
      </w:r>
    </w:p>
    <w:p w14:paraId="456342B4" w14:textId="77777777" w:rsidR="005F3F04" w:rsidRDefault="005F3F04" w:rsidP="005F3F04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Pakiet edukacyjno-terapeutyczny</w:t>
      </w:r>
      <w:r>
        <w:t xml:space="preserve"> do pracy z dziećmi z zaburzeniami przetwarzania słuchowego – materiały multimedialne wspierające percepcję i pamięć słuchową oraz monitorowanie postępów terapii.</w:t>
      </w:r>
    </w:p>
    <w:p w14:paraId="0C02CC7C" w14:textId="77777777" w:rsidR="005F3F04" w:rsidRDefault="005F3F04" w:rsidP="005F3F04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 xml:space="preserve">Wyposażenie do terapii </w:t>
      </w:r>
      <w:proofErr w:type="spellStart"/>
      <w:r>
        <w:rPr>
          <w:rStyle w:val="Pogrubienie"/>
          <w:rFonts w:eastAsiaTheme="majorEastAsia"/>
        </w:rPr>
        <w:t>Biofeedback</w:t>
      </w:r>
      <w:proofErr w:type="spellEnd"/>
      <w:r>
        <w:t xml:space="preserve"> obejmujące:</w:t>
      </w:r>
      <w:r>
        <w:br/>
        <w:t>– plansze treningowe,</w:t>
      </w:r>
      <w:r>
        <w:br/>
        <w:t>– licencjonowane gry terapeutyczne,</w:t>
      </w:r>
      <w:r>
        <w:br/>
        <w:t>– elektrody, pasty i żele przewodzące,</w:t>
      </w:r>
      <w:r>
        <w:br/>
        <w:t>– akcesoria higieniczne i eksploatacyjne (rękawiczki, płyny, baterie),</w:t>
      </w:r>
      <w:r>
        <w:br/>
        <w:t xml:space="preserve">kompatybilne ze standardowym sprzętem </w:t>
      </w:r>
      <w:proofErr w:type="spellStart"/>
      <w:r>
        <w:t>Biofeedback</w:t>
      </w:r>
      <w:proofErr w:type="spellEnd"/>
      <w:r>
        <w:t xml:space="preserve"> stosowanym na rynku.</w:t>
      </w:r>
    </w:p>
    <w:p w14:paraId="626B6366" w14:textId="77777777" w:rsidR="005F3F04" w:rsidRDefault="005F3F04" w:rsidP="005F3F04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lastRenderedPageBreak/>
        <w:t>Materiały terapeutyczne do pracy nad emocjami</w:t>
      </w:r>
      <w:r>
        <w:t xml:space="preserve"> – narzędzia edukacyjne i gry wspierające rozpoznawanie emocji, komunikację interpersonalną, regulację napięcia, rozwój empatii i umiejętności społecznych (m.in. karty emocji, zestawy aktywności, gry relacyjne, scenariusze sytuacji społecznych).</w:t>
      </w:r>
    </w:p>
    <w:p w14:paraId="4CD11C4A" w14:textId="77777777" w:rsidR="005F3F04" w:rsidRDefault="005F3F04" w:rsidP="005F3F04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Publikacje terapeutyczne</w:t>
      </w:r>
      <w:r>
        <w:t xml:space="preserve"> oraz materiały pracy własnej ucznia – literatura terapeutyczna, dzienniki refleksji, materiały </w:t>
      </w:r>
      <w:proofErr w:type="spellStart"/>
      <w:r>
        <w:t>psychoedukacyjne</w:t>
      </w:r>
      <w:proofErr w:type="spellEnd"/>
      <w:r>
        <w:t xml:space="preserve"> do pracy indywidualnej i grupowej.</w:t>
      </w:r>
    </w:p>
    <w:p w14:paraId="0D3733BA" w14:textId="77777777" w:rsidR="005F3F04" w:rsidRDefault="005F3F04" w:rsidP="005F3F04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Model anatomiczny mózgu</w:t>
      </w:r>
      <w:r>
        <w:t xml:space="preserve"> – w celu demonstracji podstaw neurobiologii emocji i pracy układu nerwowego.</w:t>
      </w:r>
    </w:p>
    <w:p w14:paraId="19C82F2E" w14:textId="77777777" w:rsidR="005F3F04" w:rsidRDefault="005F3F04" w:rsidP="005F3F04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Mobilna podłoga interaktywna</w:t>
      </w:r>
      <w:r>
        <w:t xml:space="preserve"> – urządzenie multimedialne ze statywem jezdnym, przeznaczone do prowadzenia zajęć ruchowych, terapeutycznych, percepcyjno-wzrokowych oraz usprawniających, wyposażone w oprogramowanie z pakietami tematycznymi.</w:t>
      </w:r>
    </w:p>
    <w:p w14:paraId="2FC6AB90" w14:textId="3B6F0A3D" w:rsidR="005F3F04" w:rsidRDefault="005F3F04" w:rsidP="005F3F04">
      <w:pPr>
        <w:pStyle w:val="NormalnyWeb"/>
      </w:pPr>
      <w:r>
        <w:rPr>
          <w:rStyle w:val="Pogrubienie"/>
          <w:rFonts w:eastAsiaTheme="majorEastAsia"/>
        </w:rPr>
        <w:t>Szczegółowe wymagania minimalne</w:t>
      </w:r>
      <w:r>
        <w:t xml:space="preserve">, w tym parametry techniczne, zakres licencji, zawartość zestawów, wymiary, formy pracy oraz rodzaj akcesoriów, określa </w:t>
      </w:r>
      <w:r>
        <w:rPr>
          <w:rStyle w:val="Pogrubienie"/>
          <w:rFonts w:eastAsiaTheme="majorEastAsia"/>
        </w:rPr>
        <w:t xml:space="preserve">Załącznik nr </w:t>
      </w:r>
      <w:r>
        <w:rPr>
          <w:rStyle w:val="Pogrubienie"/>
          <w:rFonts w:eastAsiaTheme="majorEastAsia"/>
        </w:rPr>
        <w:t>3.4.</w:t>
      </w:r>
      <w:r>
        <w:rPr>
          <w:rStyle w:val="Pogrubienie"/>
          <w:rFonts w:eastAsiaTheme="majorEastAsia"/>
        </w:rPr>
        <w:t>– Formularz wyceny</w:t>
      </w:r>
      <w:r>
        <w:t xml:space="preserve"> w kolumnie „Szczegółowe wymagania Zamawiającego / Minimalne wymagania jakościowe”.</w:t>
      </w:r>
    </w:p>
    <w:p w14:paraId="4D05907B" w14:textId="77777777" w:rsid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EF03D73" w14:textId="77777777" w:rsidR="00DE085B" w:rsidRP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6C615C1" w14:textId="77F3F120" w:rsidR="00AC7D6E" w:rsidRPr="00DE085B" w:rsidRDefault="00AC7D6E" w:rsidP="00AC7D6E">
      <w:pPr>
        <w:pStyle w:val="Akapitzlist"/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E085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Część nr 5:</w:t>
      </w:r>
      <w:r w:rsidR="00DE085B" w:rsidRPr="00DE085B">
        <w:rPr>
          <w:b/>
          <w:bCs/>
        </w:rPr>
        <w:t xml:space="preserve"> </w:t>
      </w:r>
      <w:r w:rsidR="00DE085B" w:rsidRPr="00DE085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Dostawa gier edukacyjnych oraz materiałów edukacyjnych</w:t>
      </w:r>
    </w:p>
    <w:p w14:paraId="7E1869C2" w14:textId="77777777" w:rsid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0E6C5E7" w14:textId="6468F819" w:rsidR="00DE085B" w:rsidRP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E085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Przedmiotem zamówienia jest dostawa gier edukacyjnych oraz </w:t>
      </w:r>
      <w:r w:rsidRPr="00DE085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materiałów</w:t>
      </w:r>
      <w:r w:rsidRPr="00DE085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edukacyjnych rozwijających kompetencje językowe, narracyjne, komunikacyjne i logiczne, przeznaczonych do wykorzystania w procesie dydaktycznym w szkołach podstawowych i ponadpodstawowych.</w:t>
      </w:r>
    </w:p>
    <w:p w14:paraId="60433244" w14:textId="77777777" w:rsidR="00DE085B" w:rsidRP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592E37C" w14:textId="0CEC4495" w:rsid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E085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Zamówienie obejmuje dostawę poniższych gier lub produktów równoważnych (art. 99 ust. 5 PZP), spełniających minimalne parametry określone przy każdej pozycji.</w:t>
      </w:r>
    </w:p>
    <w:p w14:paraId="48E2ABCF" w14:textId="77777777" w:rsid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FA32A4C" w14:textId="64764F3C" w:rsidR="00DE085B" w:rsidRDefault="00DE085B" w:rsidP="00DE085B">
      <w:pPr>
        <w:pStyle w:val="NormalnyWeb"/>
      </w:pPr>
      <w:r>
        <w:rPr>
          <w:rStyle w:val="Pogrubienie"/>
          <w:rFonts w:eastAsiaTheme="majorEastAsia"/>
        </w:rPr>
        <w:t>Szczegółowe wymagania minimalne dla każdej pozycji określa kolumna „Wymagania minimalne” Formularza wyceny – Załącznik nr 3.</w:t>
      </w:r>
      <w:r>
        <w:rPr>
          <w:rStyle w:val="Pogrubienie"/>
          <w:rFonts w:eastAsiaTheme="majorEastAsia"/>
        </w:rPr>
        <w:t>5</w:t>
      </w:r>
      <w:r>
        <w:rPr>
          <w:rStyle w:val="Pogrubienie"/>
          <w:rFonts w:eastAsiaTheme="majorEastAsia"/>
        </w:rPr>
        <w:t xml:space="preserve"> do SWZ.</w:t>
      </w:r>
    </w:p>
    <w:p w14:paraId="247D953D" w14:textId="77777777" w:rsidR="00DE085B" w:rsidRPr="00DE085B" w:rsidRDefault="00DE085B" w:rsidP="00DE08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A7768F4" w14:textId="63228768" w:rsidR="00AC7D6E" w:rsidRPr="003421A1" w:rsidRDefault="00AC7D6E" w:rsidP="00AC7D6E">
      <w:pPr>
        <w:pStyle w:val="Akapitzlist"/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3421A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Część nr 6:</w:t>
      </w:r>
      <w:r w:rsidR="00623EE5" w:rsidRPr="003421A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Pomoce dydaktyczne do zajęć edukacyjnych z zakresu ratownictwa</w:t>
      </w:r>
    </w:p>
    <w:p w14:paraId="3C35D4E1" w14:textId="77777777" w:rsidR="00E52FA2" w:rsidRDefault="00E52FA2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FB6563B" w14:textId="77777777" w:rsidR="00DE085B" w:rsidRDefault="00DE085B" w:rsidP="00DE085B">
      <w:pPr>
        <w:pStyle w:val="NormalnyWeb"/>
        <w:jc w:val="both"/>
      </w:pPr>
      <w:r>
        <w:t xml:space="preserve">Przedmiotem zamówienia w ramach Części nr 6 jest </w:t>
      </w:r>
      <w:r>
        <w:rPr>
          <w:rStyle w:val="Pogrubienie"/>
          <w:rFonts w:eastAsiaTheme="majorEastAsia"/>
        </w:rPr>
        <w:t>dostawa fabrycznie nowych fantomów, sprzętu szkoleniowego oraz aptecznego i wyposażenia do symulacji medycznych</w:t>
      </w:r>
      <w:r>
        <w:t>, przeznaczonych do realizacji szkoleń z zakresu pierwszej pomocy, resuscytacji krążeniowo-oddechowej oraz postępowania w stanach nagłych.</w:t>
      </w:r>
    </w:p>
    <w:p w14:paraId="4116FB09" w14:textId="77777777" w:rsidR="00DE085B" w:rsidRDefault="00DE085B" w:rsidP="00DE085B">
      <w:pPr>
        <w:pStyle w:val="NormalnyWeb"/>
        <w:jc w:val="both"/>
      </w:pPr>
      <w:r>
        <w:t>Zakres zamówienia obejmuje w szczególności dostawę poniższych produktów:</w:t>
      </w:r>
    </w:p>
    <w:p w14:paraId="29A96DCD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>Fantom osoby dorosłej do treningu RKO z funkcją oceny jakości ucisków i wentylacji (QCPR), w zestawie z torbą i materiałami eksploatacyjnymi.</w:t>
      </w:r>
    </w:p>
    <w:p w14:paraId="63E609AB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lastRenderedPageBreak/>
        <w:t>Zestaw trzech fantomów (niemowlę, dziecko, dorosły) wyposażonych w system monitorowania jakości RKO (QCPR lub równoważny), realistyczna anatomia, akcesoria i torby transportowe.</w:t>
      </w:r>
    </w:p>
    <w:p w14:paraId="0B0DC7CE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>Zestaw do realistycznej symulacji ran i urazów, wielorazowego użytku, w walizce/torbie transportowej.</w:t>
      </w:r>
    </w:p>
    <w:p w14:paraId="2AB6E5C8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 xml:space="preserve">Kamizelka treningowa do nauki udzielania pomocy w zadławieniach (chwyty </w:t>
      </w:r>
      <w:proofErr w:type="spellStart"/>
      <w:r>
        <w:t>Heimlicha</w:t>
      </w:r>
      <w:proofErr w:type="spellEnd"/>
      <w:r>
        <w:t>), regulowana, z wizualnym potwierdzeniem prawidłowego wykonania manewru.</w:t>
      </w:r>
    </w:p>
    <w:p w14:paraId="4599E91F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 xml:space="preserve">Worek </w:t>
      </w:r>
      <w:proofErr w:type="spellStart"/>
      <w:r>
        <w:t>samorozprężalny</w:t>
      </w:r>
      <w:proofErr w:type="spellEnd"/>
      <w:r>
        <w:t xml:space="preserve"> silikonowy dla dorosłych, wielorazowy, z maską, przewodem i rezerwuarem tlenu, z możliwością sterylizacji/</w:t>
      </w:r>
      <w:proofErr w:type="spellStart"/>
      <w:r>
        <w:t>autoklawowania</w:t>
      </w:r>
      <w:proofErr w:type="spellEnd"/>
      <w:r>
        <w:t>.</w:t>
      </w:r>
    </w:p>
    <w:p w14:paraId="3C911E55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 xml:space="preserve">Jednorazowy worek </w:t>
      </w:r>
      <w:proofErr w:type="spellStart"/>
      <w:r>
        <w:t>samorozprężalny</w:t>
      </w:r>
      <w:proofErr w:type="spellEnd"/>
      <w:r>
        <w:t xml:space="preserve"> pediatryczny, sterylnie pakowany, z maską i rezerwuarem tlenu.</w:t>
      </w:r>
    </w:p>
    <w:p w14:paraId="26457514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>Apteczka szkolna wyposażona zgodnie ze standardem dla placówek oświatowych, w torbie lub walizce z przegródkami.</w:t>
      </w:r>
    </w:p>
    <w:p w14:paraId="51A93DB5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>Komplet 14 szyn typu Kramera do unieruchamiania kończyn, w torbie/etui transportowym.</w:t>
      </w:r>
    </w:p>
    <w:p w14:paraId="64B1207E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>Tablety kompatybilne z systemami QCPR lub równoważnymi aplikacjami szkoleniowymi, ekran co najmniej 10”, łączność Bluetooth i Wi-Fi, w zestawie etui i ładowarki.</w:t>
      </w:r>
    </w:p>
    <w:p w14:paraId="7A387682" w14:textId="77777777" w:rsidR="00DE085B" w:rsidRDefault="00DE085B" w:rsidP="00DE085B">
      <w:pPr>
        <w:pStyle w:val="NormalnyWeb"/>
        <w:numPr>
          <w:ilvl w:val="0"/>
          <w:numId w:val="8"/>
        </w:numPr>
        <w:jc w:val="both"/>
      </w:pPr>
      <w:r>
        <w:t>Rozszerzony zestaw szkoleniowy do zaawansowanej symulacji urazów (TRAUMA KIT) w plecaku modułowym.</w:t>
      </w:r>
    </w:p>
    <w:p w14:paraId="63275947" w14:textId="77777777" w:rsidR="00DE085B" w:rsidRDefault="00DE085B" w:rsidP="00DE085B">
      <w:pPr>
        <w:pStyle w:val="NormalnyWeb"/>
      </w:pPr>
      <w:r>
        <w:rPr>
          <w:rStyle w:val="Pogrubienie"/>
          <w:rFonts w:eastAsiaTheme="majorEastAsia"/>
        </w:rPr>
        <w:t>Szczegółowe wymagania minimalne dla każdej pozycji określa kolumna „Wymagania minimalne” Formularza wyceny – Załącznik nr 3.6 do SWZ.</w:t>
      </w:r>
    </w:p>
    <w:p w14:paraId="12C5D2AD" w14:textId="77777777" w:rsidR="00E52FA2" w:rsidRDefault="00E52FA2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C067AC6" w14:textId="77777777" w:rsidR="00E52FA2" w:rsidRDefault="00E52FA2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BE8AF99" w14:textId="3A5E76D6" w:rsidR="00E52FA2" w:rsidRPr="00E52FA2" w:rsidRDefault="00AC7D6E" w:rsidP="00AC7D6E">
      <w:pPr>
        <w:pStyle w:val="Akapitzlist"/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Część nr 7:</w:t>
      </w:r>
      <w:r w:rsidR="0087292D"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="00E52FA2"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Dostawa pakietu publikacji</w:t>
      </w:r>
    </w:p>
    <w:p w14:paraId="095720BF" w14:textId="77777777" w:rsidR="00E52FA2" w:rsidRDefault="00E52FA2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F158B9E" w14:textId="48A55267" w:rsidR="00AC7D6E" w:rsidRDefault="0087292D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7292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Przedmiotem zamówienia jest dostawa pakietu publikacji książkowych oraz prenumeraty czasopisma z zakresu edukacji polonistycznej i teatralnej, przeznaczonych do celów dydaktycznych szkół podstawowych i ponadpodstawowych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szczegółowo opisanych w Załączniku nr 3.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7 </w:t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SWZ.</w:t>
      </w:r>
    </w:p>
    <w:p w14:paraId="5C9715D5" w14:textId="77777777" w:rsidR="003421A1" w:rsidRDefault="003421A1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4CAFAC4" w14:textId="1F4D5361" w:rsidR="00DE085B" w:rsidRDefault="00DE085B" w:rsidP="00DE085B">
      <w:pPr>
        <w:pStyle w:val="NormalnyWeb"/>
      </w:pPr>
      <w:r>
        <w:rPr>
          <w:rStyle w:val="Pogrubienie"/>
          <w:rFonts w:eastAsiaTheme="majorEastAsia"/>
        </w:rPr>
        <w:t>Szczegółowe wymagania minimalne dla każdej pozycji określa kolumna „Wymagania minimalne” Formularza wyceny – Załącznik nr 3.</w:t>
      </w:r>
      <w:r>
        <w:rPr>
          <w:rStyle w:val="Pogrubienie"/>
          <w:rFonts w:eastAsiaTheme="majorEastAsia"/>
        </w:rPr>
        <w:t>7</w:t>
      </w:r>
      <w:r>
        <w:rPr>
          <w:rStyle w:val="Pogrubienie"/>
          <w:rFonts w:eastAsiaTheme="majorEastAsia"/>
        </w:rPr>
        <w:t xml:space="preserve"> do SWZ.</w:t>
      </w:r>
    </w:p>
    <w:p w14:paraId="572BC254" w14:textId="77777777" w:rsidR="00DE085B" w:rsidRDefault="00DE085B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530E726" w14:textId="329977F5" w:rsidR="0087292D" w:rsidRPr="00E52FA2" w:rsidRDefault="00AC7D6E" w:rsidP="00E52FA2">
      <w:pPr>
        <w:pStyle w:val="Akapitzlist"/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Część nr </w:t>
      </w:r>
      <w:proofErr w:type="gramStart"/>
      <w:r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8: </w:t>
      </w:r>
      <w:r w:rsidR="00E52FA2"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="00E52FA2"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Wyposażenie</w:t>
      </w:r>
      <w:proofErr w:type="gramEnd"/>
      <w:r w:rsidR="00E52FA2" w:rsidRPr="00E52FA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pracowni wsparcia psychologicznego i rozwoju kompetencji społeczno-emocjonalnych</w:t>
      </w:r>
    </w:p>
    <w:p w14:paraId="291001D2" w14:textId="77777777" w:rsidR="00E52FA2" w:rsidRDefault="00E52FA2" w:rsidP="00E52FA2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FB95C4B" w14:textId="5C326A9D" w:rsidR="00AC7D6E" w:rsidRDefault="00AC7D6E" w:rsidP="0087292D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Przedmiotem zamówienia jest zakup materiałów dydaktycznych, terapeutycznych oraz wyposażenia wspierającego realizację działań psychologiczno-pedagogicznych, wsparcia emocjonalnego i rozwoju umiejętności społecznych uczniów</w:t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szczegółowo opisanych w Załączniku nr 3.8 do SWZ</w:t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 </w:t>
      </w:r>
    </w:p>
    <w:p w14:paraId="4520B3DC" w14:textId="77777777" w:rsidR="00DE085B" w:rsidRDefault="00DE085B" w:rsidP="0087292D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E768A6" w14:textId="7D137551" w:rsidR="00DE085B" w:rsidRPr="00DE085B" w:rsidRDefault="00DE085B" w:rsidP="00DE085B">
      <w:pPr>
        <w:pStyle w:val="NormalnyWeb"/>
      </w:pPr>
      <w:r>
        <w:rPr>
          <w:rStyle w:val="Pogrubienie"/>
          <w:rFonts w:eastAsiaTheme="majorEastAsia"/>
        </w:rPr>
        <w:lastRenderedPageBreak/>
        <w:t>Szczegółowe wymagania minimalne dla każdej pozycji określa kolumna „Wymagania minimalne” Formularza wyceny – Załącznik nr 3.</w:t>
      </w:r>
      <w:r>
        <w:rPr>
          <w:rStyle w:val="Pogrubienie"/>
          <w:rFonts w:eastAsiaTheme="majorEastAsia"/>
        </w:rPr>
        <w:t>8</w:t>
      </w:r>
      <w:r>
        <w:rPr>
          <w:rStyle w:val="Pogrubienie"/>
          <w:rFonts w:eastAsiaTheme="majorEastAsia"/>
        </w:rPr>
        <w:t xml:space="preserve"> do SWZ.</w:t>
      </w:r>
    </w:p>
    <w:p w14:paraId="5B353BB4" w14:textId="77777777" w:rsidR="00E52FA2" w:rsidRPr="00AC7D6E" w:rsidRDefault="00E52FA2" w:rsidP="0087292D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DD7AF61" w14:textId="77777777" w:rsidR="006D1C6E" w:rsidRPr="006D1C6E" w:rsidRDefault="006D1C6E" w:rsidP="006D1C6E">
      <w:pPr>
        <w:pStyle w:val="Akapitzlist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Całość dostawy musi zostać zrealizowana zgodnie ze standardami bezpieczeństwa, jakości i funkcjonalności właściwymi dla zastosowania w placówkach oświatowych, terapeutycznych i specjalistycznych.</w:t>
      </w:r>
    </w:p>
    <w:p w14:paraId="33E14EF3" w14:textId="5A417FFB" w:rsidR="006D1C6E" w:rsidRPr="006D1C6E" w:rsidRDefault="006D1C6E" w:rsidP="006D1C6E">
      <w:pPr>
        <w:pStyle w:val="Akapitzlist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Wszelkie elementy dostawy muszą być zgodne z obowiązującymi przepisami prawa krajowego i UE, w szczególności ustawą Prawo zamówień publicznych, ustawą o systemie oświaty, przepisami BHP oraz normami branżowymi.</w:t>
      </w:r>
    </w:p>
    <w:p w14:paraId="7AF05621" w14:textId="316A5BAA" w:rsidR="006D1C6E" w:rsidRDefault="006D1C6E" w:rsidP="006D1C6E">
      <w:pPr>
        <w:pStyle w:val="Akapitzlist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Szczegółowe wymagania zostały dookreślone w Załączniku nr </w:t>
      </w:r>
      <w:r w:rsid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SWZ</w:t>
      </w:r>
      <w:r w:rsid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dla każdej części odpowiednio 3. 1 dla części nr 1 do 3.8 do SWZ dla części nr 8</w:t>
      </w:r>
      <w:r w:rsidR="003421A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kolumnach od 1 do 3 Formularzy wyceny.</w:t>
      </w:r>
    </w:p>
    <w:p w14:paraId="0FCCC46B" w14:textId="77777777" w:rsidR="006D1C6E" w:rsidRPr="006D1C6E" w:rsidRDefault="006D1C6E" w:rsidP="006D1C6E">
      <w:pPr>
        <w:pStyle w:val="Akapitzlist"/>
        <w:spacing w:after="0" w:line="240" w:lineRule="auto"/>
        <w:ind w:left="42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1252912" w14:textId="77777777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2. Wymagania dotyczące jakości i pochodzenia produktów</w:t>
      </w:r>
    </w:p>
    <w:p w14:paraId="0C7DB2D3" w14:textId="77777777" w:rsidR="006D1C6E" w:rsidRDefault="006D1C6E" w:rsidP="00AC7D6E">
      <w:pPr>
        <w:pStyle w:val="Akapitzlist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Wszystkie dostarczane produkty muszą być fabrycznie nowe, nieużywane, niekompletowane z części używanych ani nieodnawiane.</w:t>
      </w:r>
    </w:p>
    <w:p w14:paraId="3A0B4FEA" w14:textId="77777777" w:rsidR="006D1C6E" w:rsidRDefault="006D1C6E" w:rsidP="00AC7D6E">
      <w:pPr>
        <w:pStyle w:val="Akapitzlist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Produkty muszą pochodzić z legalnego kanału dystrybucji i posiadać pełną dokumentację producenta, w tym instrukcję użytkowania w języku polskim.</w:t>
      </w:r>
    </w:p>
    <w:p w14:paraId="5843B2D5" w14:textId="666E11C2" w:rsidR="006D1C6E" w:rsidRDefault="006D1C6E" w:rsidP="00AC7D6E">
      <w:pPr>
        <w:pStyle w:val="Akapitzlist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Produkty multimedialne, licencyjne oraz terapeutyczne muszą posiadać: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licencję uprawniającą do użytkowania w placówce oświatowej</w:t>
      </w:r>
      <w:r w:rsidR="00AC7D6E"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AC7D6E"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(jeśli dotyczy).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dokumentację lub opis metodyczny,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zgodność z RODO w zakresie przetwarzanych danych (jeśli dotyczy).</w:t>
      </w:r>
    </w:p>
    <w:p w14:paraId="31F61BB0" w14:textId="4990F166" w:rsidR="006D1C6E" w:rsidRDefault="006D1C6E" w:rsidP="00AC7D6E">
      <w:pPr>
        <w:pStyle w:val="Akapitzlist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Wyroby elektryczne i elektroniczne muszą posiadać deklarację zgodności CE lub równoważną, zgodnie z właściwymi normami PN-EN.</w:t>
      </w:r>
    </w:p>
    <w:p w14:paraId="1FE1203A" w14:textId="1A9E0F0A" w:rsidR="006D1C6E" w:rsidRDefault="006D1C6E" w:rsidP="00AC7D6E">
      <w:pPr>
        <w:pStyle w:val="Akapitzlist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Pomoc dydaktyczna i terapeutyczna musi być wykonana z materiałów bezpiecznych, nietoksycznych, wolnych od substancji szkodliwych, dopuszczonych do kontaktu z dziećmi.</w:t>
      </w:r>
    </w:p>
    <w:p w14:paraId="1E0944D0" w14:textId="35D74E3C" w:rsidR="006D1C6E" w:rsidRPr="006D1C6E" w:rsidRDefault="006D1C6E" w:rsidP="00AC7D6E">
      <w:pPr>
        <w:pStyle w:val="Akapitzlist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ponosi pełną odpowiedzialność za jakość i zgodność dostarczonych produktów z wymaganiami OPZ.</w:t>
      </w:r>
    </w:p>
    <w:p w14:paraId="77A71F75" w14:textId="77777777" w:rsid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4A1912A" w14:textId="6E1D5DDF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3. Zakres dostawy i sposób realizacji</w:t>
      </w:r>
    </w:p>
    <w:p w14:paraId="254ADB8A" w14:textId="2BCE7E05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3.1. Dostawa obejmuje: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transport,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rozładunek,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wniesienie do pomieszczeń wskazanych przez Zamawiającego</w:t>
      </w:r>
      <w:r w:rsid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tj. siedziba Szkoły Podstawowej im. Orła Białego w Podgórzynie, 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ustawienie sprzętu w miejscach docelowych (jeżeli dotyczy),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przekazanie instrukcji, licencji, haseł i kodów aktywacyjnych.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3.2. Wykonawca organizuje transport własnym staraniem i na własny koszt.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3.3. W przypadku dostaw wieloelementowych Wykonawca zobowiązany jest do zapewnienia kompletności każdego zestawu.</w:t>
      </w:r>
    </w:p>
    <w:p w14:paraId="43D50A75" w14:textId="3BBF609A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EFF15BA" w14:textId="77777777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4. Wymagania dotyczące opakowania i zabezpieczenia produktów</w:t>
      </w:r>
    </w:p>
    <w:p w14:paraId="7AF157A2" w14:textId="650B2F69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4.1. 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Wszystkie produkty muszą być dostarczone w oryginalnych opakowaniach producenta lub – w przypadku produktów drukowanych – w opakowaniach chroniących przed uszkodzeniem mechanicznym i wilgocią.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4.2. Oprogramowanie oraz licencje muszą być dostarczone z odpowiednimi nośnikami lub w 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formie elektronicznej wraz z instrukcją instalacji.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4.3. Produkty muszą być odpowiednio zabezpieczone przed wstrząsami, zgnieceniem i wilgocią podczas transportu.</w:t>
      </w:r>
    </w:p>
    <w:p w14:paraId="17BBE49B" w14:textId="6F0F5F13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E3DC070" w14:textId="77777777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5. Wymagania dotyczące kompletności dostawy</w:t>
      </w:r>
    </w:p>
    <w:p w14:paraId="420C5005" w14:textId="77777777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5.1. Każdy produkt musi zawierać wszystkie elementy niezbędne do jego prawidłowego działania, w tym kable, akcesoria, przejściówki, elementy montażowe, baterie (jeżeli wskazane).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5.2. W przypadku zestawów terapeutycznych i edukacyjnych wymagane jest dostarczenie pełnych pakietów – brakujące komponenty są traktowane jako niedostarczenie produktu.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5.3. W przypadku oprogramowania – licencja musi umożliwiać uruchomienie produktu bez konieczności dodatkowych zakupów.</w:t>
      </w:r>
    </w:p>
    <w:p w14:paraId="6D66A6A8" w14:textId="2B1BE9EB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1468E1" w14:textId="77777777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6. Termin i harmonogram realizacji</w:t>
      </w:r>
    </w:p>
    <w:p w14:paraId="28083E4E" w14:textId="276A2B20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6.1. Wykonawca dostarczy towar w terminie określonym w umowie, nie dłuższym niż </w:t>
      </w:r>
      <w:r w:rsidR="00AC7D6E"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10</w:t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dni od podpisania</w:t>
      </w:r>
      <w:r w:rsidR="00081C96"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umowy</w:t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6.2. Zamawiający dopuszcza dostawę jednorazową lub w podziale na części, zgodnie z ustalonym harmonogramem.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6.3. Wykonawca jest zobowiązany do wcześniejszego powiadomienia Zamawiającego o planowanej dacie dostawy z min. 48-godzinnym wyprzedzeniem.</w:t>
      </w:r>
    </w:p>
    <w:p w14:paraId="5F4B0383" w14:textId="47733DF0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BD295E0" w14:textId="77777777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7. Odbiór jakościowy i ilościowy</w:t>
      </w:r>
    </w:p>
    <w:p w14:paraId="38CC91AF" w14:textId="77777777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7.1. Odbiór nastąpi w obecności przedstawicieli Zamawiającego i Wykonawcy.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7.2. Odbiór obejmuje weryfikację: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ilości zgodnej z zamówieniem,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stanu technicznego i jakościowego,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zgodności parametrów z OPZ,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kompletności zestawów,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poprawności dostarczonych licencji.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7.3. W przypadku stwierdzenia niezgodności Zamawiający ma prawo odmówić odbioru lub przyjąć dostawę z protokołem niezgodności.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7.4. Wszelkie koszty wymiany lub uzupełnienia towaru ponosi Wykonawca.</w:t>
      </w:r>
    </w:p>
    <w:p w14:paraId="1AFDC237" w14:textId="74F6BB0C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4107114" w14:textId="77777777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8. Gwarancja i serwis</w:t>
      </w:r>
    </w:p>
    <w:p w14:paraId="1B0221C2" w14:textId="6D713947" w:rsid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8.1. Minimalny okres gwarancji: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zgodny z wymaganiami OPZ,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– nie krótszy niż 24 miesiące dla materiałów fizycznych, a dla pozostałych wskazany w Załączniku nr </w:t>
      </w:r>
      <w:r w:rsidR="00AC7D6E"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 </w:t>
      </w:r>
      <w:proofErr w:type="gramStart"/>
      <w:r w:rsid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 Załącznik</w:t>
      </w:r>
      <w:proofErr w:type="gramEnd"/>
      <w:r w:rsid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tabela xls)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8.2. Gwarancja obejmuje wszystkie elementy zestawu, w tym akcesoria i licencje.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8.3. W przypadku stwierdzenia wady Zamawiający zgłasza reklamację, a Wykonawca zobowiązany jest usunąć wadę lub wymienić produkt w terminie nie dłuższym niż 14 dni.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8.4. Wymiana produktu w ramach gwarancji oznacza dostarczenie nowego egzemplarza, nie naprawianego wcześniej.</w:t>
      </w:r>
    </w:p>
    <w:p w14:paraId="64A933FC" w14:textId="06A66A3D" w:rsidR="006D1C6E" w:rsidRPr="006D1C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8.5.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gwarantuje, że oferowane produkty nie zawierają złośliwego oprogramowania ani funkcji telemetrycznych.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8.6. Licencje nie mogą wymagać tworzenia kont prywatnych przez uczniów.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8.7. Materiały cyfrowe muszą być dostępne na urządzeniach Zamawiającego bez konieczności zakupu nowych platform/licencji</w:t>
      </w:r>
      <w:r>
        <w:t>.</w:t>
      </w:r>
    </w:p>
    <w:p w14:paraId="21CACA45" w14:textId="77777777" w:rsidR="00081C96" w:rsidRDefault="00081C96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33D3C19" w14:textId="22513E2B" w:rsidR="006D1C6E" w:rsidRPr="006D1C6E" w:rsidRDefault="006D1C6E" w:rsidP="006D1C6E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9. Klauzula równoważności</w:t>
      </w:r>
    </w:p>
    <w:p w14:paraId="7DA8E667" w14:textId="539BF41A" w:rsidR="00AC7D6E" w:rsidRDefault="006D1C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9.1. Wszelkie nazwy własne, tytuły produktów, przykładowe modele oraz wskazane serie mają charakter referencyjny.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9.2. Zamawiający dopuszcza produkty równoważne pod względem: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funkcjonalności,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bezpieczeństwa,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zakresu metodycznego,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kompatybilności,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parametrów technicznych nie gorszych niż wskazane.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9.3. Ocena równoważności należy wyłącznie do Zamawiającego.</w:t>
      </w:r>
      <w:r w:rsidRPr="006D1C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9.4. Wykonawca na żądanie Zamawiającego jest zobowiązany wykazać równoważność poprzez złożenie kart katalogowych, opisów technicznych lub próbek.</w:t>
      </w:r>
    </w:p>
    <w:p w14:paraId="453F8999" w14:textId="77777777" w:rsidR="00AC7D6E" w:rsidRDefault="00AC7D6E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5596B05" w14:textId="1B2549B9" w:rsidR="00081C96" w:rsidRPr="00081C96" w:rsidRDefault="00081C96" w:rsidP="006D1C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9.5. Wymagania równoważności dla systemów operacyjnych Windows: </w:t>
      </w:r>
    </w:p>
    <w:p w14:paraId="32442908" w14:textId="77777777" w:rsidR="00AC7D6E" w:rsidRDefault="00AC7D6E" w:rsidP="00081C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97D2F5D" w14:textId="30261B9A" w:rsidR="00081C96" w:rsidRPr="00081C96" w:rsidRDefault="00AC7D6E" w:rsidP="00081C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równoważny system Zamawiający rozumie s</w:t>
      </w:r>
      <w:r w:rsidR="00081C96"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ystem operacyjny fabrycznie przeinstalowany przez producenta </w:t>
      </w:r>
      <w:proofErr w:type="gramStart"/>
      <w:r w:rsidR="00081C96"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-  klasy</w:t>
      </w:r>
      <w:proofErr w:type="gramEnd"/>
      <w:r w:rsidR="00081C96"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desktop musi spełniać następujące wymagania poprzez wbudowane mechanizmy, bez użycia dodatkowych aplikacji:</w:t>
      </w:r>
    </w:p>
    <w:p w14:paraId="4CEE22C3" w14:textId="66B87944" w:rsidR="00AC7D6E" w:rsidRPr="00AC7D6E" w:rsidRDefault="00081C96" w:rsidP="00AC7D6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Dostępne dwa rodzaje graficznego interfejsu użytkownika:</w:t>
      </w:r>
    </w:p>
    <w:p w14:paraId="122EB725" w14:textId="77777777" w:rsidR="00AC7D6E" w:rsidRDefault="00081C96" w:rsidP="00AC7D6E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Klasyczny, umożliwiający obsługę przy pomocy klawiatury i myszy,</w:t>
      </w:r>
    </w:p>
    <w:p w14:paraId="4651BB81" w14:textId="387C434D" w:rsidR="00081C96" w:rsidRPr="00AC7D6E" w:rsidRDefault="00081C96" w:rsidP="00AC7D6E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Dotykowy umożliwiający sterowanie dotykiem na urządzeniach typu tablet lub monitorach dotykowych,</w:t>
      </w:r>
    </w:p>
    <w:p w14:paraId="489328A4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2. Interfejsy użytkownika dostępne w wielu językach do wyboru – w tym Polskim i Angielskim,</w:t>
      </w:r>
    </w:p>
    <w:p w14:paraId="508B012E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3. Zlokalizowane w języku polskim, co najmniej następujące elementy: menu, odtwarzacz multimediów, pomoc, komunikaty systemowe,</w:t>
      </w:r>
    </w:p>
    <w:p w14:paraId="7FB9273C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4. Wbudowany system pomocy w języku polskim;</w:t>
      </w:r>
    </w:p>
    <w:p w14:paraId="7D232DB7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5. Graficzne środowisko instalacji i konfiguracji dostępne w języku polskim,</w:t>
      </w:r>
    </w:p>
    <w:p w14:paraId="499DCEAD" w14:textId="4B14F05C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6. Funkcje związane z obsługą komputerów typu tablet, z wbudowanym modułem „uczenia</w:t>
      </w:r>
      <w:r w:rsid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się” pisma użytkownika – obsługa języka polskiego.</w:t>
      </w:r>
    </w:p>
    <w:p w14:paraId="460E8CCD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7. Funkcjonalność rozpoznawania mowy, pozwalającą na sterowanie komputerem głosowo, wraz z modułem „uczenia się” głosu użytkownika.</w:t>
      </w:r>
    </w:p>
    <w:p w14:paraId="373C7907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8.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14:paraId="25FBD23E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9. Możliwość dokonywania aktualizacji i poprawek systemu poprzez mechanizm zarządzany przez administratora systemu Zamawiającego,</w:t>
      </w:r>
    </w:p>
    <w:p w14:paraId="48BD600D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10. Dostępność bezpłatnych biuletynów bezpieczeństwa związanych z działaniem systemu operacyjnego,</w:t>
      </w:r>
    </w:p>
    <w:p w14:paraId="241AB029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11. Wbudowana zapora internetowa (firewall) dla ochrony połączeń internetowych; zintegrowana z systemem konsola do zarządzania ustawieniami zapory i regułami IP v4 i v6;</w:t>
      </w:r>
    </w:p>
    <w:p w14:paraId="2EE4DBC7" w14:textId="77777777" w:rsidR="00081C96" w:rsidRPr="00081C96" w:rsidRDefault="00081C96" w:rsidP="00AC7D6E">
      <w:pPr>
        <w:spacing w:after="0" w:line="240" w:lineRule="auto"/>
        <w:ind w:left="851" w:hanging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12. Wbudowane mechanizmy ochrony antywirusowej i przeciw złośliwemu oprogramowaniu z zapewnionymi bezpłatnymi aktualizacjami,</w:t>
      </w:r>
    </w:p>
    <w:p w14:paraId="1CD034B1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13. Wsparcie dla większości powszechnie używanych urządzeń peryferyjnych (drukarek, urządzeń sieciowych, standardów USB,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Plug&amp;Play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Wi-Fi),</w:t>
      </w:r>
    </w:p>
    <w:p w14:paraId="7A822424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      14. Funkcjonalność automatycznej zmiany domyślnej drukarki w zależności od sieci, do której podłączony jest komputer,</w:t>
      </w:r>
    </w:p>
    <w:p w14:paraId="6DB181F8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15. Możliwość zarządzania stacją roboczą poprzez polityki grupowe – przez politykę rozumiemy zestaw reguł definiujących lub ograniczających funkcjonalność systemu lub aplikacji,</w:t>
      </w:r>
    </w:p>
    <w:p w14:paraId="4DD401E7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16. Rozbudowane, definiowalne polityki bezpieczeństwa – polityki dla systemu operacyjnego i dla wskazanych aplikacji,</w:t>
      </w:r>
    </w:p>
    <w:p w14:paraId="5959C9AB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17. Możliwość zdalnej automatycznej instalacji, konfiguracji, administrowania oraz aktualizowania systemu, zgodnie z określonymi uprawnieniami poprzez polityki grupowe,</w:t>
      </w:r>
    </w:p>
    <w:p w14:paraId="649A7B49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18. Zabezpieczony hasłem hierarchiczny dostęp do systemu, konta i profile użytkowników zarządzane zdalnie; praca systemu w trybie ochrony kont użytkowników.</w:t>
      </w:r>
    </w:p>
    <w:p w14:paraId="15789B61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19. Mechanizm pozwalający użytkownikowi zarejestrowanego w systemie przedsiębiorstwa/instytucji urządzenia na uprawniony dostęp do zasobów tego systemu.</w:t>
      </w:r>
    </w:p>
    <w:p w14:paraId="4EED9561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20.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</w:r>
    </w:p>
    <w:p w14:paraId="0B888C79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21. Zintegrowany z systemem operacyjnym moduł synchronizacji komputera z urządzeniami zewnętrznymi.</w:t>
      </w:r>
    </w:p>
    <w:p w14:paraId="1081B675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22. Obsługa standardu NFC (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near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field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communication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),</w:t>
      </w:r>
    </w:p>
    <w:p w14:paraId="5B415854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23. Możliwość przystosowania stanowiska dla osób niepełnosprawnych (np. słabo widzących);</w:t>
      </w:r>
    </w:p>
    <w:p w14:paraId="74E686B3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24. Wsparcie dla IPSEC oparte na politykach – wdrażanie IPSEC oparte na zestawach reguł definiujących ustawienia zarządzanych w sposób centralny;</w:t>
      </w:r>
    </w:p>
    <w:p w14:paraId="4ACA685A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25. Automatyczne występowanie i używanie (wystawianie) certyfikatów PKI X.509;</w:t>
      </w:r>
    </w:p>
    <w:p w14:paraId="788EB33E" w14:textId="77777777" w:rsidR="00AC7D6E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26. Mechanizmy logowania do domeny w oparciu o:</w:t>
      </w:r>
    </w:p>
    <w:p w14:paraId="1EF31F5F" w14:textId="0E053353" w:rsidR="00081C96" w:rsidRPr="00AC7D6E" w:rsidRDefault="00081C96" w:rsidP="00AC7D6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Login i hasło,</w:t>
      </w:r>
    </w:p>
    <w:p w14:paraId="0D3DF8E1" w14:textId="1D81797A" w:rsidR="00AC7D6E" w:rsidRPr="00AC7D6E" w:rsidRDefault="00081C96" w:rsidP="00AC7D6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Karty z certyfikatami (</w:t>
      </w:r>
      <w:proofErr w:type="spellStart"/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smartcard</w:t>
      </w:r>
      <w:proofErr w:type="spellEnd"/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),</w:t>
      </w:r>
    </w:p>
    <w:p w14:paraId="613B8E8F" w14:textId="0045B504" w:rsidR="00081C96" w:rsidRPr="00AC7D6E" w:rsidRDefault="00081C96" w:rsidP="00AC7D6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7D6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Wirtualne karty (logowanie w oparciu o certyfikat chroniony poprzez moduł TPM),</w:t>
      </w:r>
    </w:p>
    <w:p w14:paraId="44D8FF0E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27. Mechanizmy wieloelementowego uwierzytelniania.</w:t>
      </w:r>
    </w:p>
    <w:p w14:paraId="53BDA6A2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28. Wsparcie dla uwierzytelniania na bazie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Kerberos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v. 5,</w:t>
      </w:r>
    </w:p>
    <w:p w14:paraId="2DAE79EE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29. Wsparcie do uwierzytelnienia urządzenia na bazie certyfikatu,</w:t>
      </w:r>
    </w:p>
    <w:p w14:paraId="19887A94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30. Wsparcie dla algorytmów Suite B (RFC 4869),</w:t>
      </w:r>
    </w:p>
    <w:p w14:paraId="23D32E73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31. Wsparcie wbudowanej zapory ogniowej dla Internet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Key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Exchange v. 2 (IKEv2) dla warstwy transportowej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IPsec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77A9AB78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32. Wbudowane narzędzia służące do administracji, do wykonywania kopii zapasowych polityk i ich odtwarzania oraz generowania raportów z ustawień polityk;</w:t>
      </w:r>
    </w:p>
    <w:p w14:paraId="4324158D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33. Wsparcie dla środowisk Java i .NET Framework 4.x – możliwość uruchomienia aplikacji działających we wskazanych środowiskach,</w:t>
      </w:r>
    </w:p>
    <w:p w14:paraId="5A5B9EE8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34. Wsparcie dla JScript i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VBScript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możliwość uruchamiania interpretera poleceń,</w:t>
      </w:r>
    </w:p>
    <w:p w14:paraId="07EC1E93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35. Zdalna pomoc i współdzielenie aplikacji – możliwość zdalnego przejęcia sesji zalogowanego użytkownika celem rozwiązania problemu z komputerem,</w:t>
      </w:r>
    </w:p>
    <w:p w14:paraId="085D9D49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36. Rozwiązanie służące do automatycznego zbudowania obrazu systemu wraz z aplikacjami. Obraz systemu służyć ma do automatycznego upowszechnienia systemu operacyjnego inicjowanego i wykonywanego w całości poprzez sieć komputerową,</w:t>
      </w:r>
    </w:p>
    <w:p w14:paraId="0A67AF9F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37. Rozwiązanie ma umożliwiające wdrożenie nowego obrazu poprzez zdalną instalację,</w:t>
      </w:r>
    </w:p>
    <w:p w14:paraId="46C91FC8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      38. Transakcyjny system plików pozwalający na stosowanie przydziałów (ang.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quota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 na dysku dla użytkowników oraz zapewniający większą niezawodność i pozwalający tworzyć kopie zapasowe,</w:t>
      </w:r>
    </w:p>
    <w:p w14:paraId="2CD51E43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39. Zarządzanie kontami użytkowników sieci oraz urządzeniami sieciowymi tj. drukarki, modemy, woluminy dyskowe, usługi katalogowe</w:t>
      </w:r>
    </w:p>
    <w:p w14:paraId="06F6CBAE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40. Udostępnianie modemu,</w:t>
      </w:r>
    </w:p>
    <w:p w14:paraId="44F095CC" w14:textId="057D8953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41.Oprogramowanie dla tworzenia kopii zapasowych (Backup); automatyczne wykonywanie kopii plików z możliwością automatycznego przywrócenia wersji wcześniejszej,</w:t>
      </w:r>
    </w:p>
    <w:p w14:paraId="5CAF86CE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42. Możliwość przywracania obrazu plików systemowych do uprzednio zapisanej postaci,</w:t>
      </w:r>
    </w:p>
    <w:p w14:paraId="54D3628E" w14:textId="610C12BB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43. 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</w:r>
    </w:p>
    <w:p w14:paraId="4C78B3A2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44. Możliwość blokowania lub dopuszczania dowolnych urządzeń peryferyjnych za pomocą polityk grupowych (np. przy użyciu numerów identyfikacyjnych sprzętu),</w:t>
      </w:r>
    </w:p>
    <w:p w14:paraId="4D9023B8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45. Wbudowany mechanizm wirtualizacji typu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hypervisor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umożliwiający, zgodnie z uprawnieniami licencyjnymi, uruchomienie do 4 maszyn wirtualnych,</w:t>
      </w:r>
    </w:p>
    <w:p w14:paraId="2DB729D4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46. Mechanizm szyfrowania dysków wewnętrznych i zewnętrznych z możliwością szyfrowania ograniczonego do danych użytkownika,</w:t>
      </w:r>
    </w:p>
    <w:p w14:paraId="66CC77A4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47. Wbudowane w system narzędzie do szyfrowania partycji systemowych komputera, z możliwością przechowywania certyfikatów w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mikrochipie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TPM (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Trusted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Platform Module) w wersji minimum 1.2 lub na kluczach pamięci przenośnej USB.</w:t>
      </w:r>
    </w:p>
    <w:p w14:paraId="4D16AF4F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48. Wbudowane w system narzędzie do szyfrowania dysków przenośnych, z możliwością centralnego zarządzania poprzez polityki grupowe, pozwalające na wymuszenie szyfrowania dysków przenośnych</w:t>
      </w:r>
    </w:p>
    <w:p w14:paraId="7A5056A4" w14:textId="77777777" w:rsidR="00081C96" w:rsidRPr="00081C96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49. Możliwość tworzenia i przechowywania kopii zapasowych kluczy odzyskiwania do szyfrowania partycji w usługach katalogowych.</w:t>
      </w:r>
    </w:p>
    <w:p w14:paraId="428A25D6" w14:textId="7718D5D3" w:rsidR="00081C96" w:rsidRPr="006D1C6E" w:rsidRDefault="00081C96" w:rsidP="00AC7D6E">
      <w:pPr>
        <w:spacing w:after="0" w:line="240" w:lineRule="auto"/>
        <w:ind w:left="709" w:hanging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50. Możliwość instalowania dodatkowych języków interfejsu systemu operacyjnego oraz możliwość zmiany języka bez konieczności </w:t>
      </w:r>
      <w:proofErr w:type="spellStart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reinstalacji</w:t>
      </w:r>
      <w:proofErr w:type="spellEnd"/>
      <w:r w:rsidRPr="00081C9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systemu.</w:t>
      </w:r>
    </w:p>
    <w:p w14:paraId="0214A8A2" w14:textId="77777777" w:rsidR="006D1C6E" w:rsidRPr="006D1C6E" w:rsidRDefault="006D1C6E" w:rsidP="00081C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B7C5132" w14:textId="77777777" w:rsidR="006D1C6E" w:rsidRPr="006D1C6E" w:rsidRDefault="006D1C6E" w:rsidP="00081C96">
      <w:pPr>
        <w:spacing w:after="0" w:line="240" w:lineRule="auto"/>
        <w:contextualSpacing/>
        <w:jc w:val="both"/>
      </w:pPr>
    </w:p>
    <w:sectPr w:rsidR="006D1C6E" w:rsidRPr="006D1C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A4693" w14:textId="77777777" w:rsidR="00306495" w:rsidRDefault="00306495" w:rsidP="00AC7D6E">
      <w:pPr>
        <w:spacing w:after="0" w:line="240" w:lineRule="auto"/>
      </w:pPr>
      <w:r>
        <w:separator/>
      </w:r>
    </w:p>
  </w:endnote>
  <w:endnote w:type="continuationSeparator" w:id="0">
    <w:p w14:paraId="13BE2983" w14:textId="77777777" w:rsidR="00306495" w:rsidRDefault="00306495" w:rsidP="00AC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3E903" w14:textId="77777777" w:rsidR="00306495" w:rsidRDefault="00306495" w:rsidP="00AC7D6E">
      <w:pPr>
        <w:spacing w:after="0" w:line="240" w:lineRule="auto"/>
      </w:pPr>
      <w:r>
        <w:separator/>
      </w:r>
    </w:p>
  </w:footnote>
  <w:footnote w:type="continuationSeparator" w:id="0">
    <w:p w14:paraId="1127CB0F" w14:textId="77777777" w:rsidR="00306495" w:rsidRDefault="00306495" w:rsidP="00AC7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45B64" w14:textId="614397EB" w:rsidR="00AC7D6E" w:rsidRDefault="00AC7D6E">
    <w:pPr>
      <w:pStyle w:val="Nagwek"/>
    </w:pPr>
    <w:r>
      <w:rPr>
        <w:noProof/>
      </w:rPr>
      <w:drawing>
        <wp:inline distT="0" distB="0" distL="0" distR="0" wp14:anchorId="7928066F" wp14:editId="2E208ABB">
          <wp:extent cx="5760720" cy="786765"/>
          <wp:effectExtent l="0" t="0" r="5080" b="635"/>
          <wp:docPr id="1270314882" name="Obraz 1" descr="Obraz zawierający tekst, Czcionka, biały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0314882" name="Obraz 1" descr="Obraz zawierający tekst, Czcionka, biały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FDA"/>
    <w:multiLevelType w:val="hybridMultilevel"/>
    <w:tmpl w:val="C6DEDB6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FA3825"/>
    <w:multiLevelType w:val="multilevel"/>
    <w:tmpl w:val="432C4E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212AD0"/>
    <w:multiLevelType w:val="multilevel"/>
    <w:tmpl w:val="52D63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10F3E"/>
    <w:multiLevelType w:val="hybridMultilevel"/>
    <w:tmpl w:val="06321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E7DE8"/>
    <w:multiLevelType w:val="multilevel"/>
    <w:tmpl w:val="E540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B53F0E"/>
    <w:multiLevelType w:val="multilevel"/>
    <w:tmpl w:val="9D0A3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C16D94"/>
    <w:multiLevelType w:val="multilevel"/>
    <w:tmpl w:val="3D066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213A02"/>
    <w:multiLevelType w:val="multilevel"/>
    <w:tmpl w:val="5D34F8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B814C2"/>
    <w:multiLevelType w:val="hybridMultilevel"/>
    <w:tmpl w:val="25B26740"/>
    <w:lvl w:ilvl="0" w:tplc="06A43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73E72"/>
    <w:multiLevelType w:val="multilevel"/>
    <w:tmpl w:val="9FA6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9F28F6"/>
    <w:multiLevelType w:val="multilevel"/>
    <w:tmpl w:val="65863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866315"/>
    <w:multiLevelType w:val="multilevel"/>
    <w:tmpl w:val="D6E49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1429625">
    <w:abstractNumId w:val="4"/>
  </w:num>
  <w:num w:numId="2" w16cid:durableId="1888029283">
    <w:abstractNumId w:val="5"/>
  </w:num>
  <w:num w:numId="3" w16cid:durableId="511531739">
    <w:abstractNumId w:val="7"/>
  </w:num>
  <w:num w:numId="4" w16cid:durableId="1773821322">
    <w:abstractNumId w:val="1"/>
  </w:num>
  <w:num w:numId="5" w16cid:durableId="1252202581">
    <w:abstractNumId w:val="3"/>
  </w:num>
  <w:num w:numId="6" w16cid:durableId="1135610509">
    <w:abstractNumId w:val="8"/>
  </w:num>
  <w:num w:numId="7" w16cid:durableId="145825180">
    <w:abstractNumId w:val="0"/>
  </w:num>
  <w:num w:numId="8" w16cid:durableId="1040594021">
    <w:abstractNumId w:val="9"/>
  </w:num>
  <w:num w:numId="9" w16cid:durableId="28260092">
    <w:abstractNumId w:val="10"/>
  </w:num>
  <w:num w:numId="10" w16cid:durableId="105080990">
    <w:abstractNumId w:val="6"/>
  </w:num>
  <w:num w:numId="11" w16cid:durableId="606929822">
    <w:abstractNumId w:val="11"/>
  </w:num>
  <w:num w:numId="12" w16cid:durableId="215702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6E"/>
    <w:rsid w:val="00081C96"/>
    <w:rsid w:val="000C0871"/>
    <w:rsid w:val="00306495"/>
    <w:rsid w:val="003421A1"/>
    <w:rsid w:val="005F3F04"/>
    <w:rsid w:val="00623EE5"/>
    <w:rsid w:val="006D1C6E"/>
    <w:rsid w:val="0087292D"/>
    <w:rsid w:val="009455C6"/>
    <w:rsid w:val="00A326B0"/>
    <w:rsid w:val="00AC7D6E"/>
    <w:rsid w:val="00D10F3D"/>
    <w:rsid w:val="00DE085B"/>
    <w:rsid w:val="00E52FA2"/>
    <w:rsid w:val="00EE1DE9"/>
    <w:rsid w:val="00F9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1354"/>
  <w15:chartTrackingRefBased/>
  <w15:docId w15:val="{A157E880-FF6C-384D-BD92-DEED9A5C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1C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1C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1C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1C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1C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1C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1C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1C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1C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1C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D1C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1C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1C6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D1C6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6D1C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1C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1C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1C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1C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1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1C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1C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1C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1C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1C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1C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1C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1C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1C6E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6D1C6E"/>
    <w:rPr>
      <w:b/>
      <w:bCs/>
    </w:rPr>
  </w:style>
  <w:style w:type="paragraph" w:styleId="NormalnyWeb">
    <w:name w:val="Normal (Web)"/>
    <w:basedOn w:val="Normalny"/>
    <w:uiPriority w:val="99"/>
    <w:unhideWhenUsed/>
    <w:rsid w:val="006D1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1C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1C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1C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C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C9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D6E"/>
  </w:style>
  <w:style w:type="paragraph" w:styleId="Stopka">
    <w:name w:val="footer"/>
    <w:basedOn w:val="Normalny"/>
    <w:link w:val="StopkaZnak"/>
    <w:uiPriority w:val="99"/>
    <w:unhideWhenUsed/>
    <w:rsid w:val="00AC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5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8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5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4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93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78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9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9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2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8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1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3498</Words>
  <Characters>20990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</cp:revision>
  <dcterms:created xsi:type="dcterms:W3CDTF">2025-12-01T10:42:00Z</dcterms:created>
  <dcterms:modified xsi:type="dcterms:W3CDTF">2025-12-04T18:58:00Z</dcterms:modified>
</cp:coreProperties>
</file>